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ICS-6000离子色谱仪操作规程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开机准备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流动相配制 </w:t>
      </w:r>
    </w:p>
    <w:p>
      <w:pPr>
        <w:spacing w:line="360" w:lineRule="auto"/>
        <w:ind w:left="240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电导检测系统（阴阳离子、有机酸等测定）不需配制流动相，只需要超纯水，可选择屈臣氏蒸馏水、娃哈哈纯净水或者Milipore超纯水。</w:t>
      </w:r>
    </w:p>
    <w:p>
      <w:pPr>
        <w:spacing w:line="360" w:lineRule="auto"/>
        <w:ind w:left="240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安培检测系统（单糖、寡糖及聚糖）一般需配制250mM氢氧化钠溶液：量取50%</w:t>
      </w:r>
      <w:bookmarkStart w:id="0" w:name="_Hlk92965214"/>
      <w:r>
        <w:rPr>
          <w:rFonts w:hint="default" w:ascii="Times New Roman" w:hAnsi="Times New Roman" w:eastAsia="宋体" w:cs="Times New Roman"/>
          <w:sz w:val="24"/>
          <w:szCs w:val="24"/>
        </w:rPr>
        <w:t>氢氧化钠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（Sigma货号415413或者J&amp;K货号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995802</w:t>
      </w:r>
      <w:r>
        <w:rPr>
          <w:rFonts w:hint="default" w:ascii="Times New Roman" w:hAnsi="Times New Roman" w:eastAsia="宋体" w:cs="Times New Roman"/>
          <w:sz w:val="24"/>
          <w:szCs w:val="24"/>
        </w:rPr>
        <w:t>）13.2mL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加超纯水</w:t>
      </w:r>
      <w:r>
        <w:rPr>
          <w:rFonts w:hint="default" w:ascii="Times New Roman" w:hAnsi="Times New Roman" w:eastAsia="宋体" w:cs="Times New Roman"/>
          <w:sz w:val="24"/>
          <w:szCs w:val="24"/>
        </w:rPr>
        <w:t>定容至1L，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也可称取20g上述氢氧化钠溶液加超纯水定容至1L，</w:t>
      </w:r>
      <w:r>
        <w:rPr>
          <w:rFonts w:hint="default" w:ascii="Times New Roman" w:hAnsi="Times New Roman" w:eastAsia="宋体" w:cs="Times New Roman"/>
          <w:sz w:val="24"/>
          <w:szCs w:val="24"/>
        </w:rPr>
        <w:t>摇匀并抽滤。</w:t>
      </w:r>
    </w:p>
    <w:p>
      <w:pPr>
        <w:spacing w:line="360" w:lineRule="auto"/>
        <w:ind w:left="240"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将以上流动相倒入对应的溶剂瓶中，根据实验需求配制对应体积，倒入前关闭试剂瓶上的氮气阀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加注完后打开氮气阀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氮气压力一般3-6KPa。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色谱柱选择与连接  </w:t>
      </w:r>
    </w:p>
    <w:p>
      <w:pPr>
        <w:spacing w:line="360" w:lineRule="auto"/>
        <w:ind w:left="240"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根据实验需要选择合适的色谱柱并按正确方向连接，阴离子测定选择AS系列分析柱，阳离子测定选择CS系列分析柱，糖测定选择PA系列分析柱。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开机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仪器准备</w:t>
      </w:r>
    </w:p>
    <w:p>
      <w:pPr>
        <w:spacing w:line="360" w:lineRule="auto"/>
        <w:ind w:left="0" w:leftChars="0"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更换洗针液、泵头清洗液，确认流动相、柱子、抑制器、管线等连接正确后，长按进样器、泵及检测器等各模块电源键开机，无先后顺序。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启动 Chromeleon“仪器控制器服务（Instrument Controller Service）”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打开电脑，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需启动 Chromeleon“仪器控制器服务（Instrument Controller Service）”，可右击 Windows 任务栏上的 Chromeleon 托盘图标 （红色画叉图案），然后点击“启动 Chromeleon 仪器控制器（Start Chromeleon Instrument Controller）”。图标变为金色，表示 “仪器控制器服务（Instrument Controller Service）”正在启动。当“仪器控制器服务 （Instrument Controller Service）”正在运行（空闲）时，图标变为灰色 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如果 Windows 任务栏上没有 Chromeleon 托盘图标，可点击“开始&gt;所有程序&gt; ThermoChromeleon 7 &gt;服务管理器（Start &gt; All Programs &gt; Thermo Chromeleon 7 &gt; Services Manager）”打开服务管理器，然后点击“启动仪器控制器（Start Instrument Controller）”。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打开软件并检查联机情况</w:t>
      </w:r>
    </w:p>
    <w:p>
      <w:pPr>
        <w:spacing w:line="360" w:lineRule="auto"/>
        <w:ind w:left="240"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双击打开电脑桌面上的Chromeleon7软件，分别检查System1和System2中各模块的联机情况。其中System1为安培检测系统，主要有泵、柱温箱、检测器。System2为电导检测系统，主要有泵、柱温箱、抑制器、检测器。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灌注与</w:t>
      </w:r>
      <w:r>
        <w:rPr>
          <w:rFonts w:hint="default" w:ascii="Times New Roman" w:hAnsi="Times New Roman" w:eastAsia="宋体" w:cs="Times New Roman"/>
          <w:sz w:val="24"/>
          <w:szCs w:val="24"/>
        </w:rPr>
        <w:t>脱气</w:t>
      </w:r>
    </w:p>
    <w:p>
      <w:pPr>
        <w:spacing w:line="360" w:lineRule="auto"/>
        <w:ind w:left="240"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更换流动相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时需灌注系统，</w:t>
      </w:r>
      <w:r>
        <w:rPr>
          <w:rFonts w:hint="default" w:ascii="Times New Roman" w:hAnsi="Times New Roman" w:eastAsia="宋体" w:cs="Times New Roman"/>
          <w:sz w:val="24"/>
          <w:szCs w:val="24"/>
        </w:rPr>
        <w:t>系统压力不稳时必须对系统进行脱气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以去除管路以及泵头内的气泡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打开泵上的减压阀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然后在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system1或2界面中的</w:t>
      </w:r>
      <w:r>
        <w:rPr>
          <w:rFonts w:hint="default" w:ascii="Times New Roman" w:hAnsi="Times New Roman" w:eastAsia="宋体" w:cs="Times New Roman"/>
          <w:sz w:val="24"/>
          <w:szCs w:val="24"/>
        </w:rPr>
        <w:t>pump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窗口</w:t>
      </w:r>
      <w:r>
        <w:rPr>
          <w:rFonts w:hint="default" w:ascii="Times New Roman" w:hAnsi="Times New Roman" w:eastAsia="宋体" w:cs="Times New Roman"/>
          <w:sz w:val="24"/>
          <w:szCs w:val="24"/>
        </w:rPr>
        <w:t>中点击prime按钮，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系统会以较高流速运行指定时间，如使用多种流动相需对多个通道分别prime，</w:t>
      </w:r>
      <w:r>
        <w:rPr>
          <w:rFonts w:hint="default" w:ascii="Times New Roman" w:hAnsi="Times New Roman" w:eastAsia="宋体" w:cs="Times New Roman"/>
          <w:sz w:val="24"/>
          <w:szCs w:val="24"/>
        </w:rPr>
        <w:t>结束后关闭减压阀。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模块运行</w:t>
      </w:r>
    </w:p>
    <w:p>
      <w:pPr>
        <w:spacing w:line="360" w:lineRule="auto"/>
        <w:ind w:left="24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</w:rPr>
        <w:t>System1界面中，首先打开泵开关，流速设定根据使用的柱子调整（150*3mm糖分析柱使用0.4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mL/min流速），打开DC界面下的柱温加热，最后打开ED-left界面下的Cell on。</w:t>
      </w:r>
    </w:p>
    <w:p>
      <w:pPr>
        <w:spacing w:line="360" w:lineRule="auto"/>
        <w:ind w:left="24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</w:rPr>
        <w:t>System2界面中，首先打开泵开关，流速设定根据使用的柱子调整（250*2Mm阴离子分析柱使用0.25mL/min流速），在EluentGenerator界面下依次打开EG1 control开关和CR-TC开关，然后在DC界面下打开抑制器并根据流动性浓度设置合适的电流。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方法编辑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System1方法设置</w:t>
      </w:r>
    </w:p>
    <w:p>
      <w:pPr>
        <w:spacing w:line="360" w:lineRule="auto"/>
        <w:ind w:left="24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Hlk93499391"/>
      <w:r>
        <w:rPr>
          <w:rFonts w:hint="default" w:ascii="Times New Roman" w:hAnsi="Times New Roman" w:eastAsia="宋体" w:cs="Times New Roman"/>
          <w:sz w:val="24"/>
          <w:szCs w:val="24"/>
        </w:rPr>
        <w:t>在System1界面下点击create菜单中选择Instrument Method选项，依次设置参数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>。第一页输入样品采集时间；next进入第二页泵设置，洗脱程序选择等度Isocratic或者梯度Multi-step Gradient，输入初始流速以及流动相比例，设置梯度洗脱表；第三页进样器设置，选择进样方式如满环或者部分进样（满环进样为定量环体积如25µL，部分进样为定量环体积的一半以下），选择温度控制如需低温的样品；第四页设置样品高度及进样清洗方式，可使用默认；第五页跳过；第六页检测器模式选择直流安培；第七页安培检测器on，参比电极选择AgCl，波形选择 Gold，Carbo，Quad；第八页柱温及模块温度控制，一般设定30℃，第九页comment备注，可不写，点击finish。预览方法检查后命名并保存。</w:t>
      </w:r>
    </w:p>
    <w:p>
      <w:pPr>
        <w:spacing w:line="360" w:lineRule="auto"/>
        <w:ind w:firstLine="240" w:firstLineChars="1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</w:t>
      </w:r>
      <w:r>
        <w:rPr>
          <w:rFonts w:hint="default" w:ascii="Times New Roman" w:hAnsi="Times New Roman" w:eastAsia="宋体" w:cs="Times New Roma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System 2方法设置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在System2界面下点击create菜单中选择Instrument Method选项，依次设置参数。第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页输入样品采集时间；next进入第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页泵设置，洗脱程序选择等度Isocratic或者梯度Multi-step Gradient，输入初始流速以及流动相比例，设置梯度洗脱表；第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页进样器设置，选择进样方式如满环或者部分进样（满环进样为定量环体积如25µL，部分进样为定量环体积的一半以下），选择温度控制如需低温的样品；第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页设置样品高度及进样清洗方式，可使用默认；第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页跳过；第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页检测器模式选择直流安培；第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页安培检测器on，参比电极选择AgCl，波形选择 Gold，Carbo，Quad；第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页柱温及模块温度控制，一般设定30℃，第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页comment备注，可不写，点击finish。预览方法检查后命名并保存。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运行序列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设置序列</w:t>
      </w:r>
    </w:p>
    <w:p>
      <w:pPr>
        <w:spacing w:line="360" w:lineRule="auto"/>
        <w:ind w:left="24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在Instruments或Data界面下点击create菜单中选择Sequence选项，依次设置参数，第1页选择System 1或 System 2，第2页填写样品名称、样品数量、进样量等，第3页选择仪器方法及数据处理方法，第4页跳过，第5页完成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命名并保存序列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  <w:bookmarkStart w:id="2" w:name="_GoBack"/>
      <w:bookmarkEnd w:id="2"/>
    </w:p>
    <w:p>
      <w:pPr>
        <w:spacing w:line="360" w:lineRule="auto"/>
        <w:ind w:firstLine="240" w:firstLineChars="1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2.系统平衡好之后，点击序列界面绿色箭头开始数据采集。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关机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关机顺序与开机相反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样品采集结束后先清洗系统及柱子，关机时先在软件中关闭检测器、抑制器、泵等，再关仪器。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注意事项及故障排查</w:t>
      </w:r>
    </w:p>
    <w:p>
      <w:pPr>
        <w:numPr>
          <w:numId w:val="0"/>
        </w:numPr>
        <w:spacing w:line="360" w:lineRule="auto"/>
        <w:ind w:firstLine="240" w:firstLineChars="1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压力不稳  </w:t>
      </w:r>
    </w:p>
    <w:p>
      <w:pPr>
        <w:numPr>
          <w:numId w:val="0"/>
        </w:numPr>
        <w:spacing w:line="360" w:lineRule="auto"/>
        <w:ind w:firstLine="240" w:firstLineChars="1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2.抑制器漏液</w:t>
      </w:r>
    </w:p>
    <w:p>
      <w:pPr>
        <w:spacing w:line="360" w:lineRule="auto"/>
        <w:ind w:firstLine="240" w:firstLineChars="1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3.双系统使用注意事项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E796C"/>
    <w:multiLevelType w:val="multilevel"/>
    <w:tmpl w:val="0A9E796C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0F0B3D05"/>
    <w:multiLevelType w:val="multilevel"/>
    <w:tmpl w:val="0F0B3D05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71A658E"/>
    <w:multiLevelType w:val="multilevel"/>
    <w:tmpl w:val="471A658E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7E93BE8"/>
    <w:multiLevelType w:val="multilevel"/>
    <w:tmpl w:val="57E93BE8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69EB2F27"/>
    <w:multiLevelType w:val="multilevel"/>
    <w:tmpl w:val="69EB2F27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78594C9A"/>
    <w:multiLevelType w:val="multilevel"/>
    <w:tmpl w:val="78594C9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21"/>
    <w:rsid w:val="000131AB"/>
    <w:rsid w:val="001007BA"/>
    <w:rsid w:val="00117B81"/>
    <w:rsid w:val="001F2A0D"/>
    <w:rsid w:val="00245635"/>
    <w:rsid w:val="003542E0"/>
    <w:rsid w:val="003D0E0C"/>
    <w:rsid w:val="00437824"/>
    <w:rsid w:val="004874FE"/>
    <w:rsid w:val="004C4A93"/>
    <w:rsid w:val="004E3221"/>
    <w:rsid w:val="004E3AD6"/>
    <w:rsid w:val="0051135A"/>
    <w:rsid w:val="005538D8"/>
    <w:rsid w:val="00611A78"/>
    <w:rsid w:val="007338E7"/>
    <w:rsid w:val="00734C17"/>
    <w:rsid w:val="007E2EF7"/>
    <w:rsid w:val="008B0AD1"/>
    <w:rsid w:val="008E5F83"/>
    <w:rsid w:val="009F7021"/>
    <w:rsid w:val="00A53159"/>
    <w:rsid w:val="00AD1635"/>
    <w:rsid w:val="00AD2B0C"/>
    <w:rsid w:val="00C05B9A"/>
    <w:rsid w:val="00D12757"/>
    <w:rsid w:val="00D22A4E"/>
    <w:rsid w:val="00D27509"/>
    <w:rsid w:val="00DC0918"/>
    <w:rsid w:val="00E04249"/>
    <w:rsid w:val="00ED4754"/>
    <w:rsid w:val="03FA4DC2"/>
    <w:rsid w:val="0A017E5B"/>
    <w:rsid w:val="16557DFE"/>
    <w:rsid w:val="1DD8234F"/>
    <w:rsid w:val="275C3CB0"/>
    <w:rsid w:val="312B1A2F"/>
    <w:rsid w:val="3E077380"/>
    <w:rsid w:val="45EA380F"/>
    <w:rsid w:val="48DE41A4"/>
    <w:rsid w:val="4AF00CC8"/>
    <w:rsid w:val="67542D87"/>
    <w:rsid w:val="686978B9"/>
    <w:rsid w:val="6C9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1718</Words>
  <Characters>2373</Characters>
  <Lines>13</Lines>
  <Paragraphs>3</Paragraphs>
  <TotalTime>101</TotalTime>
  <ScaleCrop>false</ScaleCrop>
  <LinksUpToDate>false</LinksUpToDate>
  <CharactersWithSpaces>2437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2022-01-12T08:02:00Z</dcterms:created>
  <dc:creator>DELL</dc:creator>
  <cp:lastModifiedBy>孙祥丽</cp:lastModifiedBy>
  <dcterms:modified xsi:type="dcterms:W3CDTF">2022-04-02T03:06:34Z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3FDD3920273C4D6586969AC68121CA63</vt:lpwstr>
  </property>
</Properties>
</file>